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>
      <w:pPr>
        <w:jc w:val="center"/>
      </w:pPr>
      <w:r>
        <w:rPr>
          <w:rFonts w:ascii="Arial" w:hAnsi="Arial"/>
          <w:b/>
          <w:i w:val="0"/>
          <w:color w:val="071522"/>
          <w:sz w:val="56"/>
        </w:rPr>
        <w:t>TECNOLOGIA COMO</w:t>
      </w:r>
    </w:p>
    <w:p>
      <w:pPr>
        <w:jc w:val="center"/>
      </w:pPr>
      <w:r>
        <w:rPr>
          <w:rFonts w:ascii="Arial" w:hAnsi="Arial"/>
          <w:b/>
          <w:i w:val="0"/>
          <w:color w:val="0B66FF"/>
          <w:sz w:val="68"/>
        </w:rPr>
        <w:t>POLÍTICA PÚBLICA</w:t>
      </w:r>
    </w:p>
    <w:p>
      <w:pPr>
        <w:spacing w:before="320"/>
        <w:jc w:val="center"/>
      </w:pPr>
      <w:r>
        <w:rPr>
          <w:rFonts w:ascii="Arial" w:hAnsi="Arial"/>
          <w:b/>
          <w:i w:val="0"/>
          <w:color w:val="071522"/>
          <w:sz w:val="36"/>
        </w:rPr>
        <w:t>Caderno de aplicação prática</w:t>
      </w:r>
    </w:p>
    <w:p>
      <w:pPr>
        <w:spacing w:before="160"/>
        <w:jc w:val="center"/>
      </w:pPr>
      <w:r>
        <w:rPr>
          <w:rFonts w:ascii="Arial" w:hAnsi="Arial"/>
          <w:b w:val="0"/>
          <w:i w:val="0"/>
          <w:color w:val="5F7180"/>
          <w:sz w:val="22"/>
        </w:rPr>
        <w:t>Diagnóstico, matriz de decisão, governança e plano de ação</w:t>
      </w:r>
    </w:p>
    <w:p/>
    <w:p/>
    <w:p/>
    <w:p/>
    <w:p/>
    <w:p/>
    <w:p/>
    <w:p>
      <w:pPr>
        <w:jc w:val="center"/>
      </w:pPr>
      <w:r>
        <w:rPr>
          <w:rFonts w:ascii="Arial" w:hAnsi="Arial"/>
          <w:b/>
          <w:i w:val="0"/>
          <w:color w:val="071522"/>
          <w:sz w:val="26"/>
        </w:rPr>
        <w:t>Fábio Xavier</w:t>
      </w:r>
    </w:p>
    <w:p>
      <w:pPr>
        <w:jc w:val="center"/>
      </w:pPr>
      <w:r>
        <w:rPr>
          <w:rFonts w:ascii="Arial" w:hAnsi="Arial"/>
          <w:b/>
          <w:i w:val="0"/>
          <w:color w:val="0B66FF"/>
          <w:sz w:val="18"/>
        </w:rPr>
        <w:t>Material complementar oficial</w:t>
      </w:r>
    </w:p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0B66FF"/>
          <w:sz w:val="16"/>
        </w:rPr>
        <w:t>GUIA RÁPIDO</w:t>
      </w:r>
    </w:p>
    <w:p>
      <w:pPr>
        <w:spacing w:before="0" w:after="200"/>
      </w:pPr>
      <w:r>
        <w:rPr>
          <w:rFonts w:ascii="Arial" w:hAnsi="Arial"/>
          <w:b/>
          <w:i w:val="0"/>
          <w:color w:val="071522"/>
          <w:sz w:val="40"/>
        </w:rPr>
        <w:t>Como usar este caderno</w:t>
      </w:r>
    </w:p>
    <w:p>
      <w:r>
        <w:rPr>
          <w:rFonts w:ascii="Arial" w:hAnsi="Arial"/>
          <w:b w:val="0"/>
          <w:i w:val="0"/>
          <w:color w:val="071522"/>
          <w:sz w:val="20"/>
        </w:rPr>
        <w:t>Este arquivo foi criado para transformar os conceitos do livro em registros verificáveis e decisões executáveis. Preencha os campos em equipe, cite evidências concretas e revise as respostas em ciclos curtos.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318"/>
            <w:shd w:fill="EAF2FF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nil"/>
              <w:left w:val="single" w:sz="18" w:color="0B66FF"/>
              <w:bottom w:val="nil"/>
              <w:right w:val="nil"/>
            </w:tcBorders>
          </w:tcPr>
          <w:p>
            <w:r>
              <w:rPr>
                <w:rFonts w:ascii="Arial" w:hAnsi="Arial"/>
                <w:b/>
                <w:i w:val="0"/>
                <w:color w:val="0B66FF"/>
                <w:sz w:val="20"/>
              </w:rPr>
              <w:t>Regra de ouro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Não marque “Sim” apenas porque existe uma prática informal. Registre o documento, indicador, ata, log ou responsável que sustenta a resposta.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39"/>
        <w:gridCol w:w="3439"/>
        <w:gridCol w:w="3439"/>
      </w:tblGrid>
      <w:tr>
        <w:trPr>
          <w:tblHeader w:val="true"/>
        </w:trP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Etapa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Objetivo</w:t>
            </w:r>
          </w:p>
        </w:tc>
        <w:tc>
          <w:tcPr>
            <w:tcW w:type="dxa" w:w="652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Uso recomendado</w:t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1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Diagnosticar</w:t>
            </w:r>
          </w:p>
        </w:tc>
        <w:tc>
          <w:tcPr>
            <w:tcW w:type="dxa" w:w="652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Preencha o checklist de prontidão com Sim, Parcial ou Não.</w:t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2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Priorizar</w:t>
            </w:r>
          </w:p>
        </w:tc>
        <w:tc>
          <w:tcPr>
            <w:tcW w:type="dxa" w:w="652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Use a matriz valor público x risco para comparar iniciativas.</w:t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3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Deliberar</w:t>
            </w:r>
          </w:p>
        </w:tc>
        <w:tc>
          <w:tcPr>
            <w:tcW w:type="dxa" w:w="652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Registre alternativas, controles, decisão, responsável e revisão.</w:t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4</w:t>
            </w:r>
          </w:p>
        </w:tc>
        <w:tc>
          <w:tcPr>
            <w:tcW w:type="dxa" w:w="255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Executar</w:t>
            </w:r>
          </w:p>
        </w:tc>
        <w:tc>
          <w:tcPr>
            <w:tcW w:type="dxa" w:w="652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Converta a decisão em plano de 30 dias com evidências e prazos.</w:t>
            </w:r>
          </w:p>
        </w:tc>
      </w:tr>
    </w:tbl>
    <w:p/>
    <w:p>
      <w:pPr>
        <w:spacing w:before="0" w:after="120"/>
      </w:pPr>
      <w:r>
        <w:rPr>
          <w:rFonts w:ascii="Arial" w:hAnsi="Arial"/>
          <w:b/>
          <w:i w:val="0"/>
          <w:color w:val="071522"/>
          <w:sz w:val="28"/>
        </w:rPr>
        <w:t>Identificação da aplicação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ÓRGÃO/UNIDADE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Clique e preencha</w:t>
            </w:r>
          </w:p>
        </w:tc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SERVIÇO OU INICIATIVA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Clique e preencha</w:t>
            </w:r>
          </w:p>
        </w:tc>
      </w:tr>
      <w:tr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DATA DA AVALIAÇÃO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Clique e preencha</w:t>
            </w:r>
          </w:p>
        </w:tc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PATROCINADOR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Clique e preencha</w:t>
            </w:r>
          </w:p>
        </w:tc>
      </w:tr>
      <w:tr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RESPONSÁVEL PELA CONSOLIDAÇÃO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Clique e preencha</w:t>
            </w:r>
          </w:p>
        </w:tc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PRÓXIMA REVISÃO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Clique e preencha</w:t>
            </w:r>
          </w:p>
        </w:tc>
      </w:tr>
    </w:tbl>
    <w:p>
      <w:r>
        <w:br w:type="page"/>
      </w:r>
    </w:p>
    <w:p>
      <w:pPr>
        <w:sectPr>
          <w:headerReference w:type="default" r:id="rId9"/>
          <w:footerReference w:type="default" r:id="rId10"/>
          <w:pgSz w:w="11906" w:h="16838"/>
          <w:pgMar w:top="765" w:right="794" w:bottom="709" w:left="794" w:header="340" w:footer="312" w:gutter="0"/>
          <w:cols w:space="720"/>
          <w:docGrid w:linePitch="360"/>
        </w:sectPr>
      </w:pPr>
    </w:p>
    <w:p>
      <w:pPr>
        <w:spacing w:after="40"/>
      </w:pPr>
      <w:r>
        <w:rPr>
          <w:rFonts w:ascii="Arial" w:hAnsi="Arial"/>
          <w:b/>
          <w:i w:val="0"/>
          <w:color w:val="0B66FF"/>
          <w:sz w:val="16"/>
        </w:rPr>
        <w:t>FERRAMENTA 01</w:t>
      </w:r>
    </w:p>
    <w:p>
      <w:pPr>
        <w:spacing w:before="0" w:after="200"/>
      </w:pPr>
      <w:r>
        <w:rPr>
          <w:rFonts w:ascii="Arial" w:hAnsi="Arial"/>
          <w:b/>
          <w:i w:val="0"/>
          <w:color w:val="071522"/>
          <w:sz w:val="40"/>
        </w:rPr>
        <w:t>Checklist de prontidão institucional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5250"/>
            <w:shd w:fill="F4F8FB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nil"/>
              <w:left w:val="single" w:sz="18" w:color="0B66FF"/>
              <w:bottom w:val="nil"/>
              <w:right w:val="nil"/>
            </w:tcBorders>
          </w:tcPr>
          <w:p>
            <w:r>
              <w:rPr>
                <w:rFonts w:ascii="Arial" w:hAnsi="Arial"/>
                <w:b/>
                <w:i w:val="0"/>
                <w:color w:val="0B66FF"/>
                <w:sz w:val="20"/>
              </w:rPr>
              <w:t>Instrução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Marque Sim, Parcial ou Não. Registre evidência, responsável, prazo e ação de mitigação. A ausência de evidência deve ser tratada como lacuna.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06"/>
        <w:gridCol w:w="1906"/>
        <w:gridCol w:w="1906"/>
        <w:gridCol w:w="1906"/>
        <w:gridCol w:w="1906"/>
        <w:gridCol w:w="1906"/>
        <w:gridCol w:w="1906"/>
        <w:gridCol w:w="1906"/>
      </w:tblGrid>
      <w:tr>
        <w:trPr>
          <w:tblHeader w:val="true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Dimensão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Item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Pergunta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Resposta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Evidência</w:t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Responsável</w:t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Prazo</w:t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Ação de mitigação</w:t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A. Estratégia e governança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A.1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Existe patrocinador institucional e instância decisória clara?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A. Estratégia e governança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A.2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Há portfólio priorizado com critérios de valor público e risco?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A. Estratégia e governança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A.3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Existem metas, indicadores e rotinas de revisão e prestação de contas?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B. Serviços e experiência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B.1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Serviços críticos têm jornada mapeada ponta a ponta?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B. Serviços e experiência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B.2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Existem padrões de linguagem clara, usabilidade e acessibilidade?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B. Serviços e experiência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B.3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Há desenho multicanal com alternativa assistida quando necessário?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C. Dados e interoperabilidade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C.1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Existe inventário de dados e responsáveis definidos?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C. Dados e interoperabilidade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C.2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Existem padrões de integração, APIs, cadastros e qualidade?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C. Dados e interoperabilidade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C.3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Há rotinas de qualidade, atualização e documentação de dados?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D. Tecnologia e arquitetura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D.1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A arquitetura permite reutilização e integração por componentes comuns?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D. Tecnologia e arquitetura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D.2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Existe gestão de legados e plano de modernização?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D. Tecnologia e arquitetura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D.3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Segurança e continuidade estão tratadas com logs, backup e resposta?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E. Pessoas e cultura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E.1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Os times possuem competências em produto, serviço, dados e segurança?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E. Pessoas e cultura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E.2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Há capacitação contínua em acessibilidade, dados, LGPD e riscos?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E. Pessoas e cultura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E.3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Existe cultura de melhoria contínua com feedback e ciclos curtos?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F. Conformidade, ética e risco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F.1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Avaliações de impacto, acessibilidade e privacidade estão previstas?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F. Conformidade, ética e risco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F.2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Existem canais de contestação e correção de erros?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  <w:tr>
        <w:trPr>
          <w:trHeight w:val="482"/>
        </w:trPr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F. Conformidade, ética e risco</w:t>
            </w:r>
          </w:p>
        </w:tc>
        <w:tc>
          <w:tcPr>
            <w:tcW w:type="dxa" w:w="7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F.3</w:t>
            </w:r>
          </w:p>
        </w:tc>
        <w:tc>
          <w:tcPr>
            <w:tcW w:type="dxa" w:w="442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Para automação e IA, há documentação, monitoramento e auditoria?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  <w:t>Sim / Parcial / Não</w:t>
            </w:r>
          </w:p>
        </w:tc>
        <w:tc>
          <w:tcPr>
            <w:tcW w:type="dxa" w:w="232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5"/>
              </w:rPr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0B66FF"/>
          <w:sz w:val="16"/>
        </w:rPr>
        <w:t>FERRAMENTA 02</w:t>
      </w:r>
    </w:p>
    <w:p>
      <w:pPr>
        <w:spacing w:before="0" w:after="200"/>
      </w:pPr>
      <w:r>
        <w:rPr>
          <w:rFonts w:ascii="Arial" w:hAnsi="Arial"/>
          <w:b/>
          <w:i w:val="0"/>
          <w:color w:val="071522"/>
          <w:sz w:val="40"/>
        </w:rPr>
        <w:t>Matriz valor público x risco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5250"/>
            <w:shd w:fill="EAF2FF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nil"/>
              <w:left w:val="single" w:sz="18" w:color="0B66FF"/>
              <w:bottom w:val="nil"/>
              <w:right w:val="nil"/>
            </w:tcBorders>
          </w:tcPr>
          <w:p>
            <w:r>
              <w:rPr>
                <w:rFonts w:ascii="Arial" w:hAnsi="Arial"/>
                <w:b/>
                <w:i w:val="0"/>
                <w:color w:val="0B66FF"/>
                <w:sz w:val="20"/>
              </w:rPr>
              <w:t>Pontuação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Atribua nota de 1 a 5 e escreva uma justificativa de uma linha. Registre se a base é dado, norma, reclamação, auditoria ou premissa.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Tipo</w:t>
            </w:r>
          </w:p>
        </w:tc>
        <w:tc>
          <w:tcPr>
            <w:tcW w:type="dxa" w:w="90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Código</w:t>
            </w:r>
          </w:p>
        </w:tc>
        <w:tc>
          <w:tcPr>
            <w:tcW w:type="dxa" w:w="45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Critério</w:t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Nota 1-5</w:t>
            </w:r>
          </w:p>
        </w:tc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Justificativa</w:t>
            </w:r>
          </w:p>
        </w:tc>
        <w:tc>
          <w:tcPr>
            <w:tcW w:type="dxa" w:w="38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Evidência ou premissa</w:t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Valor</w:t>
            </w:r>
          </w:p>
        </w:tc>
        <w:tc>
          <w:tcPr>
            <w:tcW w:type="dxa" w:w="90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V.1</w:t>
            </w:r>
          </w:p>
        </w:tc>
        <w:tc>
          <w:tcPr>
            <w:tcW w:type="dxa" w:w="45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Ampliação de acesso e redução de barreiras</w:t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38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Valor</w:t>
            </w:r>
          </w:p>
        </w:tc>
        <w:tc>
          <w:tcPr>
            <w:tcW w:type="dxa" w:w="90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V.2</w:t>
            </w:r>
          </w:p>
        </w:tc>
        <w:tc>
          <w:tcPr>
            <w:tcW w:type="dxa" w:w="45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Melhoria de qualidade e previsibilidade do serviço</w:t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38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Valor</w:t>
            </w:r>
          </w:p>
        </w:tc>
        <w:tc>
          <w:tcPr>
            <w:tcW w:type="dxa" w:w="90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V.3</w:t>
            </w:r>
          </w:p>
        </w:tc>
        <w:tc>
          <w:tcPr>
            <w:tcW w:type="dxa" w:w="45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Redução de fricção e retrabalho</w:t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38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Valor</w:t>
            </w:r>
          </w:p>
        </w:tc>
        <w:tc>
          <w:tcPr>
            <w:tcW w:type="dxa" w:w="90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V.4</w:t>
            </w:r>
          </w:p>
        </w:tc>
        <w:tc>
          <w:tcPr>
            <w:tcW w:type="dxa" w:w="45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Transparência e rastreabilidade</w:t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38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Valor</w:t>
            </w:r>
          </w:p>
        </w:tc>
        <w:tc>
          <w:tcPr>
            <w:tcW w:type="dxa" w:w="90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V.5</w:t>
            </w:r>
          </w:p>
        </w:tc>
        <w:tc>
          <w:tcPr>
            <w:tcW w:type="dxa" w:w="45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Impacto na efetividade da política pública</w:t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38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Risco</w:t>
            </w:r>
          </w:p>
        </w:tc>
        <w:tc>
          <w:tcPr>
            <w:tcW w:type="dxa" w:w="90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R.1</w:t>
            </w:r>
          </w:p>
        </w:tc>
        <w:tc>
          <w:tcPr>
            <w:tcW w:type="dxa" w:w="45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Privacidade e sensibilidade de dados</w:t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38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Risco</w:t>
            </w:r>
          </w:p>
        </w:tc>
        <w:tc>
          <w:tcPr>
            <w:tcW w:type="dxa" w:w="90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R.2</w:t>
            </w:r>
          </w:p>
        </w:tc>
        <w:tc>
          <w:tcPr>
            <w:tcW w:type="dxa" w:w="45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Exclusão e barreiras de acesso</w:t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38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Risco</w:t>
            </w:r>
          </w:p>
        </w:tc>
        <w:tc>
          <w:tcPr>
            <w:tcW w:type="dxa" w:w="90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R.3</w:t>
            </w:r>
          </w:p>
        </w:tc>
        <w:tc>
          <w:tcPr>
            <w:tcW w:type="dxa" w:w="45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Segurança e criticidade operacional</w:t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38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Risco</w:t>
            </w:r>
          </w:p>
        </w:tc>
        <w:tc>
          <w:tcPr>
            <w:tcW w:type="dxa" w:w="90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R.4</w:t>
            </w:r>
          </w:p>
        </w:tc>
        <w:tc>
          <w:tcPr>
            <w:tcW w:type="dxa" w:w="45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Complexidade de integração e dependências</w:t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38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Risco</w:t>
            </w:r>
          </w:p>
        </w:tc>
        <w:tc>
          <w:tcPr>
            <w:tcW w:type="dxa" w:w="90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R.5</w:t>
            </w:r>
          </w:p>
        </w:tc>
        <w:tc>
          <w:tcPr>
            <w:tcW w:type="dxa" w:w="45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Dependência de fornecedor e dificuldade de saída</w:t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38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Risco</w:t>
            </w:r>
          </w:p>
        </w:tc>
        <w:tc>
          <w:tcPr>
            <w:tcW w:type="dxa" w:w="90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R.6</w:t>
            </w:r>
          </w:p>
        </w:tc>
        <w:tc>
          <w:tcPr>
            <w:tcW w:type="dxa" w:w="453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Risco reputacional e de contestação</w:t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385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812"/>
        <w:gridCol w:w="3812"/>
        <w:gridCol w:w="3812"/>
        <w:gridCol w:w="3812"/>
      </w:tblGrid>
      <w:tr>
        <w:trPr>
          <w:tblHeader w:val="true"/>
        </w:trPr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Valor total (5-25)</w:t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Risco total (6-30)</w:t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Quadrante</w:t>
            </w:r>
          </w:p>
        </w:tc>
        <w:tc>
          <w:tcPr>
            <w:tcW w:type="dxa" w:w="697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Decisão preliminar</w:t>
            </w:r>
          </w:p>
        </w:tc>
      </w:tr>
      <w:tr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</w:p>
        </w:tc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</w:p>
        </w:tc>
        <w:tc>
          <w:tcPr>
            <w:tcW w:type="dxa" w:w="396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</w:p>
        </w:tc>
        <w:tc>
          <w:tcPr>
            <w:tcW w:type="dxa" w:w="6973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Priorizar / Pilotar / Adiar / Evitar / Redesenhar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0B66FF"/>
          <w:sz w:val="16"/>
        </w:rPr>
        <w:t>SÍNTESE DE GOVERNANÇA</w:t>
      </w:r>
    </w:p>
    <w:p>
      <w:pPr>
        <w:spacing w:before="0" w:after="200"/>
      </w:pPr>
      <w:r>
        <w:rPr>
          <w:rFonts w:ascii="Arial" w:hAnsi="Arial"/>
          <w:b/>
          <w:i w:val="0"/>
          <w:color w:val="071522"/>
          <w:sz w:val="40"/>
        </w:rPr>
        <w:t>Leitura do quadrante e decisão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625"/>
        <w:gridCol w:w="7625"/>
      </w:tblGrid>
      <w:tr>
        <w:trPr>
          <w:trHeight w:val="2353"/>
        </w:trPr>
        <w:tc>
          <w:tcPr>
            <w:tcW w:type="dxa" w:w="8504"/>
            <w:shd w:fill="DFF4EA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CE5EB"/>
              <w:left w:val="single" w:sz="8" w:color="DCE5EB"/>
              <w:bottom w:val="single" w:sz="8" w:color="DCE5EB"/>
              <w:right w:val="single" w:sz="8" w:color="DCE5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19A974"/>
                <w:sz w:val="16"/>
              </w:rPr>
              <w:t>ALTO VALOR + BAIXO RISCO</w:t>
              <w:br/>
            </w:r>
            <w:r>
              <w:rPr>
                <w:rFonts w:ascii="Arial" w:hAnsi="Arial"/>
                <w:b/>
                <w:i w:val="0"/>
                <w:color w:val="071522"/>
                <w:sz w:val="26"/>
              </w:rPr>
              <w:t>Priorizar e escalar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Entrega clara e riscos controláveis. Exigir planejamento padrão e monitoramento básico.</w:t>
            </w:r>
          </w:p>
        </w:tc>
        <w:tc>
          <w:tcPr>
            <w:tcW w:type="dxa" w:w="8504"/>
            <w:shd w:fill="FFF3D9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CE5EB"/>
              <w:left w:val="single" w:sz="8" w:color="DCE5EB"/>
              <w:bottom w:val="single" w:sz="8" w:color="DCE5EB"/>
              <w:right w:val="single" w:sz="8" w:color="DCE5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F5A623"/>
                <w:sz w:val="16"/>
              </w:rPr>
              <w:t>ALTO VALOR + ALTO RISCO</w:t>
              <w:br/>
            </w:r>
            <w:r>
              <w:rPr>
                <w:rFonts w:ascii="Arial" w:hAnsi="Arial"/>
                <w:b/>
                <w:i w:val="0"/>
                <w:color w:val="071522"/>
                <w:sz w:val="26"/>
              </w:rPr>
              <w:t>Pilotar com controles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Benefício relevante com riscos altos. Fasear, testar, documentar e prever revisão formal.</w:t>
            </w:r>
          </w:p>
        </w:tc>
      </w:tr>
      <w:tr>
        <w:trPr>
          <w:trHeight w:val="2353"/>
        </w:trPr>
        <w:tc>
          <w:tcPr>
            <w:tcW w:type="dxa" w:w="8504"/>
            <w:shd w:fill="EAF2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CE5EB"/>
              <w:left w:val="single" w:sz="8" w:color="DCE5EB"/>
              <w:bottom w:val="single" w:sz="8" w:color="DCE5EB"/>
              <w:right w:val="single" w:sz="8" w:color="DCE5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B66FF"/>
                <w:sz w:val="16"/>
              </w:rPr>
              <w:t>BAIXO VALOR + BAIXO RISCO</w:t>
              <w:br/>
            </w:r>
            <w:r>
              <w:rPr>
                <w:rFonts w:ascii="Arial" w:hAnsi="Arial"/>
                <w:b/>
                <w:i w:val="0"/>
                <w:color w:val="071522"/>
                <w:sz w:val="26"/>
              </w:rPr>
              <w:t>Adiar ou manter no backlog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Pouco ganho público. Revalidar a hipótese antes de consumir capacidade institucional.</w:t>
            </w:r>
          </w:p>
        </w:tc>
        <w:tc>
          <w:tcPr>
            <w:tcW w:type="dxa" w:w="8504"/>
            <w:shd w:fill="FDE8EC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8" w:color="DCE5EB"/>
              <w:left w:val="single" w:sz="8" w:color="DCE5EB"/>
              <w:bottom w:val="single" w:sz="8" w:color="DCE5EB"/>
              <w:right w:val="single" w:sz="8" w:color="DCE5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E94B5F"/>
                <w:sz w:val="16"/>
              </w:rPr>
              <w:t>BAIXO VALOR + ALTO RISCO</w:t>
              <w:br/>
            </w:r>
            <w:r>
              <w:rPr>
                <w:rFonts w:ascii="Arial" w:hAnsi="Arial"/>
                <w:b/>
                <w:i w:val="0"/>
                <w:color w:val="071522"/>
                <w:sz w:val="26"/>
              </w:rPr>
              <w:t>Evitar ou redesenhar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A exposição supera o benefício. Só avançar se o redesenho elevar valor e reduzir risco.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625"/>
        <w:gridCol w:w="7625"/>
      </w:tblGrid>
      <w:tr>
        <w:trPr>
          <w:trHeight w:val="1219"/>
        </w:trPr>
        <w:tc>
          <w:tcPr>
            <w:tcW w:type="dxa" w:w="85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RISCO DOMINANTE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Qual risco pode comprometer direitos, continuidade ou legitimidade?</w:t>
            </w:r>
          </w:p>
        </w:tc>
        <w:tc>
          <w:tcPr>
            <w:tcW w:type="dxa" w:w="85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CONTROLES MÍNIMOS ANTES DE AVANÇAR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</w:p>
        </w:tc>
      </w:tr>
      <w:tr>
        <w:trPr>
          <w:trHeight w:val="1219"/>
        </w:trPr>
        <w:tc>
          <w:tcPr>
            <w:tcW w:type="dxa" w:w="85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DECISÃO FINAL E INSTÂNCIA RESPONSÁVEL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</w:p>
        </w:tc>
        <w:tc>
          <w:tcPr>
            <w:tcW w:type="dxa" w:w="85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DATA E CRITÉRIOS DE REVISÃO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</w:p>
        </w:tc>
      </w:tr>
    </w:tbl>
    <w:p>
      <w:pPr>
        <w:sectPr>
          <w:pgSz w:w="16838" w:h="11906" w:orient="landscape"/>
          <w:pgMar w:top="765" w:right="794" w:bottom="709" w:left="794" w:header="340" w:footer="312" w:gutter="0"/>
          <w:cols w:space="720"/>
          <w:docGrid w:linePitch="360"/>
        </w:sectPr>
      </w:pPr>
    </w:p>
    <w:p>
      <w:pPr>
        <w:spacing w:after="40"/>
      </w:pPr>
      <w:r>
        <w:rPr>
          <w:rFonts w:ascii="Arial" w:hAnsi="Arial"/>
          <w:b/>
          <w:i w:val="0"/>
          <w:color w:val="0B66FF"/>
          <w:sz w:val="16"/>
        </w:rPr>
        <w:t>REGISTRO DE UMA PÁGINA</w:t>
      </w:r>
    </w:p>
    <w:p>
      <w:pPr>
        <w:spacing w:before="0" w:after="200"/>
      </w:pPr>
      <w:r>
        <w:rPr>
          <w:rFonts w:ascii="Arial" w:hAnsi="Arial"/>
          <w:b/>
          <w:i w:val="0"/>
          <w:color w:val="071522"/>
          <w:sz w:val="40"/>
        </w:rPr>
        <w:t>Ficha de iniciativa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1757"/>
        </w:trPr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PROBLEMA PÚBLICO EM UMA FRASE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Hoje, [grupo usuário] enfrenta [problema] em [serviço], o que gera [efeito].</w:t>
            </w:r>
          </w:p>
        </w:tc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PÚBLICO USUÁRIO E CANAL ATUAL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Clique e preencha</w:t>
            </w:r>
          </w:p>
        </w:tc>
      </w:tr>
      <w:tr>
        <w:trPr>
          <w:trHeight w:val="1757"/>
        </w:trPr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ESCOPO E FRONTEIRAS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O que está dentro e fora da iniciativa?</w:t>
            </w:r>
          </w:p>
        </w:tc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DADOS UTILIZADOS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Inclua dados pessoais, sensíveis e bases integradas.</w:t>
            </w:r>
          </w:p>
        </w:tc>
      </w:tr>
      <w:tr>
        <w:trPr>
          <w:trHeight w:val="1757"/>
        </w:trPr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DEPENDÊNCIAS E FORNECEDORES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Clique e preencha</w:t>
            </w:r>
          </w:p>
        </w:tc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HIPÓTESE DE VALOR E MÉTRICAS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Como saberemos que o serviço melhorou?</w:t>
            </w:r>
          </w:p>
        </w:tc>
      </w:tr>
      <w:tr>
        <w:trPr>
          <w:trHeight w:val="1757"/>
        </w:trPr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RISCO DOMINANTE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Clique e preencha</w:t>
            </w:r>
          </w:p>
        </w:tc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RESPONSÁVEL PELO PROBLEMA / RESPONSÁVEL PELO PRODUTO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Clique e preencha</w:t>
            </w:r>
          </w:p>
        </w:tc>
      </w:tr>
    </w:tbl>
    <w:p/>
    <w:p>
      <w:pPr>
        <w:spacing w:before="0" w:after="120"/>
      </w:pPr>
      <w:r>
        <w:rPr>
          <w:rFonts w:ascii="Arial" w:hAnsi="Arial"/>
          <w:b/>
          <w:i w:val="0"/>
          <w:color w:val="071522"/>
          <w:sz w:val="28"/>
        </w:rPr>
        <w:t>Parecer curto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rPr>
          <w:trHeight w:val="2041"/>
        </w:trPr>
        <w:tc>
          <w:tcPr>
            <w:tcW w:type="dxa" w:w="1020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SÍNTESE PARA DELIBERAÇÃO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Benefício esperado, risco dominante, controles mínimos, dependências críticas e lacunas que exigem validação.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0B66FF"/>
          <w:sz w:val="16"/>
        </w:rPr>
        <w:t>ACCOUNTABILITY</w:t>
      </w:r>
    </w:p>
    <w:p>
      <w:pPr>
        <w:spacing w:before="0" w:after="200"/>
      </w:pPr>
      <w:r>
        <w:rPr>
          <w:rFonts w:ascii="Arial" w:hAnsi="Arial"/>
          <w:b/>
          <w:i w:val="0"/>
          <w:color w:val="071522"/>
          <w:sz w:val="40"/>
        </w:rPr>
        <w:t>Diário de decisão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59"/>
        <w:gridCol w:w="5159"/>
      </w:tblGrid>
      <w:tr>
        <w:trPr>
          <w:trHeight w:val="2353"/>
        </w:trPr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1. PROBLEMA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Qual problema institucional ou público está sendo resolvido?</w:t>
            </w:r>
          </w:p>
        </w:tc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2. ALTERNATIVAS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Inclua a alternativa de não fazer.</w:t>
            </w:r>
          </w:p>
        </w:tc>
      </w:tr>
      <w:tr>
        <w:trPr>
          <w:trHeight w:val="2353"/>
        </w:trPr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3. VALOR PÚBLICO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Quais benefícios são esperados e como serão medidos?</w:t>
            </w:r>
          </w:p>
        </w:tc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4. RISCOS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Privacidade, segurança, exclusão, dependência, operação e reputação.</w:t>
            </w:r>
          </w:p>
        </w:tc>
      </w:tr>
      <w:tr>
        <w:trPr>
          <w:trHeight w:val="2353"/>
        </w:trPr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5. CONTROLES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Quais medidas precisam existir antes de avançar?</w:t>
            </w:r>
          </w:p>
        </w:tc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6. EVIDÊNCIAS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Quais registros serão produzidos e com que periodicidade?</w:t>
            </w:r>
          </w:p>
        </w:tc>
      </w:tr>
      <w:tr>
        <w:trPr>
          <w:trHeight w:val="2353"/>
        </w:trPr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7. DECISÃO E RESPONSÁVEL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O que foi decidido, por qual instância e quem responde?</w:t>
            </w:r>
          </w:p>
        </w:tc>
        <w:tc>
          <w:tcPr>
            <w:tcW w:type="dxa" w:w="5102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8. REVISÃO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Quando a decisão será revisitada e quais são os gatilhos de pausa?</w:t>
            </w:r>
          </w:p>
        </w:tc>
      </w:tr>
    </w:tbl>
    <w:p>
      <w:pPr>
        <w:sectPr>
          <w:pgSz w:w="11906" w:h="16838"/>
          <w:pgMar w:top="765" w:right="794" w:bottom="709" w:left="794" w:header="340" w:footer="312" w:gutter="0"/>
          <w:cols w:space="720"/>
          <w:docGrid w:linePitch="360"/>
        </w:sectPr>
      </w:pPr>
    </w:p>
    <w:p>
      <w:pPr>
        <w:spacing w:after="40"/>
      </w:pPr>
      <w:r>
        <w:rPr>
          <w:rFonts w:ascii="Arial" w:hAnsi="Arial"/>
          <w:b/>
          <w:i w:val="0"/>
          <w:color w:val="0B66FF"/>
          <w:sz w:val="16"/>
        </w:rPr>
        <w:t>DIREITOS DECISÓRIOS</w:t>
      </w:r>
    </w:p>
    <w:p>
      <w:pPr>
        <w:spacing w:before="0" w:after="200"/>
      </w:pPr>
      <w:r>
        <w:rPr>
          <w:rFonts w:ascii="Arial" w:hAnsi="Arial"/>
          <w:b/>
          <w:i w:val="0"/>
          <w:color w:val="071522"/>
          <w:sz w:val="40"/>
        </w:rPr>
        <w:t>Matriz RACI mínima de governança de TI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5250"/>
            <w:shd w:fill="EAF2FF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nil"/>
              <w:left w:val="single" w:sz="18" w:color="0B66FF"/>
              <w:bottom w:val="nil"/>
              <w:right w:val="nil"/>
            </w:tcBorders>
          </w:tcPr>
          <w:p>
            <w:r>
              <w:rPr>
                <w:rFonts w:ascii="Arial" w:hAnsi="Arial"/>
                <w:b/>
                <w:i w:val="0"/>
                <w:color w:val="0B66FF"/>
                <w:sz w:val="20"/>
              </w:rPr>
              <w:t>Legenda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R = responsável por executar; A = responsável final por aprovar e responder; C = consultado; I = informado.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9"/>
        <w:gridCol w:w="2179"/>
        <w:gridCol w:w="2179"/>
        <w:gridCol w:w="2179"/>
        <w:gridCol w:w="2179"/>
        <w:gridCol w:w="2179"/>
        <w:gridCol w:w="2179"/>
      </w:tblGrid>
      <w:tr>
        <w:trPr>
          <w:tblHeader w:val="true"/>
        </w:trPr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Atividade decisória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Instância de governança</w:t>
            </w:r>
          </w:p>
        </w:tc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TI / gestão</w:t>
            </w:r>
          </w:p>
        </w:tc>
        <w:tc>
          <w:tcPr>
            <w:tcW w:type="dxa" w:w="187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Jurídico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Controle interno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Área finalística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Encarregado de dados</w:t>
            </w:r>
          </w:p>
        </w:tc>
      </w:tr>
      <w:tr>
        <w:trPr>
          <w:trHeight w:val="680"/>
        </w:trPr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Definir portfólio e prioridades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A</w:t>
            </w:r>
          </w:p>
        </w:tc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R</w:t>
            </w:r>
          </w:p>
        </w:tc>
        <w:tc>
          <w:tcPr>
            <w:tcW w:type="dxa" w:w="187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</w:tr>
      <w:tr>
        <w:trPr>
          <w:trHeight w:val="680"/>
        </w:trPr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Aprovar arquitetura e padrões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A</w:t>
            </w:r>
          </w:p>
        </w:tc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R</w:t>
            </w:r>
          </w:p>
        </w:tc>
        <w:tc>
          <w:tcPr>
            <w:tcW w:type="dxa" w:w="187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</w:tr>
      <w:tr>
        <w:trPr>
          <w:trHeight w:val="680"/>
        </w:trPr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Definir política de dados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A</w:t>
            </w:r>
          </w:p>
        </w:tc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R</w:t>
            </w:r>
          </w:p>
        </w:tc>
        <w:tc>
          <w:tcPr>
            <w:tcW w:type="dxa" w:w="187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</w:tr>
      <w:tr>
        <w:trPr>
          <w:trHeight w:val="680"/>
        </w:trPr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Definir política de segurança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A</w:t>
            </w:r>
          </w:p>
        </w:tc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R</w:t>
            </w:r>
          </w:p>
        </w:tc>
        <w:tc>
          <w:tcPr>
            <w:tcW w:type="dxa" w:w="187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</w:tr>
      <w:tr>
        <w:trPr>
          <w:trHeight w:val="680"/>
        </w:trPr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Autorizar contratação relevante de TI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A</w:t>
            </w:r>
          </w:p>
        </w:tc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R</w:t>
            </w:r>
          </w:p>
        </w:tc>
        <w:tc>
          <w:tcPr>
            <w:tcW w:type="dxa" w:w="187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A/C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</w:tr>
      <w:tr>
        <w:trPr>
          <w:trHeight w:val="680"/>
        </w:trPr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Aprovar adoção de cloud e SaaS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A</w:t>
            </w:r>
          </w:p>
        </w:tc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R</w:t>
            </w:r>
          </w:p>
        </w:tc>
        <w:tc>
          <w:tcPr>
            <w:tcW w:type="dxa" w:w="187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</w:tr>
      <w:tr>
        <w:trPr>
          <w:trHeight w:val="680"/>
        </w:trPr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Aprovar projeto de IA de alto impacto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A</w:t>
            </w:r>
          </w:p>
        </w:tc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R</w:t>
            </w:r>
          </w:p>
        </w:tc>
        <w:tc>
          <w:tcPr>
            <w:tcW w:type="dxa" w:w="187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</w:tr>
      <w:tr>
        <w:trPr>
          <w:trHeight w:val="680"/>
        </w:trPr>
        <w:tc>
          <w:tcPr>
            <w:tcW w:type="dxa" w:w="4819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Monitorar indicadores e riscos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A</w:t>
            </w:r>
          </w:p>
        </w:tc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R</w:t>
            </w:r>
          </w:p>
        </w:tc>
        <w:tc>
          <w:tcPr>
            <w:tcW w:type="dxa" w:w="187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I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7"/>
              </w:rPr>
              <w:t>C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Arial" w:hAnsi="Arial"/>
          <w:b/>
          <w:i w:val="0"/>
          <w:color w:val="0B66FF"/>
          <w:sz w:val="16"/>
        </w:rPr>
        <w:t>GOVERNANÇA EM AÇÃO</w:t>
      </w:r>
    </w:p>
    <w:p>
      <w:pPr>
        <w:spacing w:before="0" w:after="200"/>
      </w:pPr>
      <w:r>
        <w:rPr>
          <w:rFonts w:ascii="Arial" w:hAnsi="Arial"/>
          <w:b/>
          <w:i w:val="0"/>
          <w:color w:val="071522"/>
          <w:sz w:val="40"/>
        </w:rPr>
        <w:t>Roteiro de escalonamento e formalização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250"/>
      </w:tblGrid>
      <w:tr>
        <w:tc>
          <w:tcPr>
            <w:tcW w:type="dxa" w:w="15250"/>
            <w:shd w:fill="EAF2FF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nil"/>
              <w:left w:val="single" w:sz="18" w:color="0B66FF"/>
              <w:bottom w:val="nil"/>
              <w:right w:val="nil"/>
            </w:tcBorders>
          </w:tcPr>
          <w:p>
            <w:r>
              <w:rPr>
                <w:rFonts w:ascii="Arial" w:hAnsi="Arial"/>
                <w:b/>
                <w:i w:val="0"/>
                <w:color w:val="0B66FF"/>
                <w:sz w:val="20"/>
              </w:rPr>
              <w:t>Quando escalar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Escale quando a decisão ultrapassar o limite de autoridade da unidade, envolver risco alto, afetar direitos, criar dependência relevante ou exigir exceção a padrão institucional.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625"/>
        <w:gridCol w:w="7625"/>
      </w:tblGrid>
      <w:tr>
        <w:trPr>
          <w:tblHeader w:val="true"/>
        </w:trP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Etapa</w:t>
            </w:r>
          </w:p>
        </w:tc>
        <w:tc>
          <w:tcPr>
            <w:tcW w:type="dxa" w:w="140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Registro mínimo</w:t>
            </w:r>
          </w:p>
        </w:tc>
      </w:tr>
      <w:tr>
        <w:trPr>
          <w:trHeight w:val="567"/>
        </w:trP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1. Identificar</w:t>
            </w:r>
          </w:p>
        </w:tc>
        <w:tc>
          <w:tcPr>
            <w:tcW w:type="dxa" w:w="140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Descrever a decisão, urgência, impacto e risco dominante.</w:t>
            </w:r>
          </w:p>
        </w:tc>
      </w:tr>
      <w:tr>
        <w:trPr>
          <w:trHeight w:val="567"/>
        </w:trP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2. Verificar competência</w:t>
            </w:r>
          </w:p>
        </w:tc>
        <w:tc>
          <w:tcPr>
            <w:tcW w:type="dxa" w:w="140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Confirmar quem pode decidir e quais áreas devem ser consultadas.</w:t>
            </w:r>
          </w:p>
        </w:tc>
      </w:tr>
      <w:tr>
        <w:trPr>
          <w:trHeight w:val="567"/>
        </w:trP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3. Preparar evidências</w:t>
            </w:r>
          </w:p>
        </w:tc>
        <w:tc>
          <w:tcPr>
            <w:tcW w:type="dxa" w:w="140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Reunir alternativas, métricas, pareceres, controles e premissas.</w:t>
            </w:r>
          </w:p>
        </w:tc>
      </w:tr>
      <w:tr>
        <w:trPr>
          <w:trHeight w:val="567"/>
        </w:trP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4. Deliberar</w:t>
            </w:r>
          </w:p>
        </w:tc>
        <w:tc>
          <w:tcPr>
            <w:tcW w:type="dxa" w:w="140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Registrar argumentos, divergências, condições e decisão final.</w:t>
            </w:r>
          </w:p>
        </w:tc>
      </w:tr>
      <w:tr>
        <w:trPr>
          <w:trHeight w:val="567"/>
        </w:trP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5. Comunicar</w:t>
            </w:r>
          </w:p>
        </w:tc>
        <w:tc>
          <w:tcPr>
            <w:tcW w:type="dxa" w:w="140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Informar responsáveis, áreas afetadas e prazo de execução.</w:t>
            </w:r>
          </w:p>
        </w:tc>
      </w:tr>
      <w:tr>
        <w:trPr>
          <w:trHeight w:val="567"/>
        </w:trPr>
        <w:tc>
          <w:tcPr>
            <w:tcW w:type="dxa" w:w="294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6. Revisar</w:t>
            </w:r>
          </w:p>
        </w:tc>
        <w:tc>
          <w:tcPr>
            <w:tcW w:type="dxa" w:w="14060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Definir data, indicador e gatilho para reavaliar ou suspender.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625"/>
        <w:gridCol w:w="7625"/>
      </w:tblGrid>
      <w:tr>
        <w:trPr>
          <w:trHeight w:val="1701"/>
        </w:trPr>
        <w:tc>
          <w:tcPr>
            <w:tcW w:type="dxa" w:w="85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INSTÂNCIAS EXISTENTES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</w:p>
        </w:tc>
        <w:tc>
          <w:tcPr>
            <w:tcW w:type="dxa" w:w="85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LACUNAS DE RESPONSABILIDADE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</w:p>
        </w:tc>
      </w:tr>
      <w:tr>
        <w:trPr>
          <w:trHeight w:val="1701"/>
        </w:trPr>
        <w:tc>
          <w:tcPr>
            <w:tcW w:type="dxa" w:w="85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DECISÕES QUE EXIGEM ESCALONAMENTO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</w:p>
        </w:tc>
        <w:tc>
          <w:tcPr>
            <w:tcW w:type="dxa" w:w="850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PRAZO PARA FORMALIZAÇÃO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</w:r>
          </w:p>
        </w:tc>
      </w:tr>
    </w:tbl>
    <w:p>
      <w:pPr>
        <w:sectPr>
          <w:pgSz w:w="16838" w:h="11906" w:orient="landscape"/>
          <w:pgMar w:top="765" w:right="794" w:bottom="709" w:left="794" w:header="340" w:footer="312" w:gutter="0"/>
          <w:cols w:space="720"/>
          <w:docGrid w:linePitch="360"/>
        </w:sectPr>
      </w:pPr>
    </w:p>
    <w:p>
      <w:pPr>
        <w:spacing w:after="40"/>
      </w:pPr>
      <w:r>
        <w:rPr>
          <w:rFonts w:ascii="Arial" w:hAnsi="Arial"/>
          <w:b/>
          <w:i w:val="0"/>
          <w:color w:val="0B66FF"/>
          <w:sz w:val="16"/>
        </w:rPr>
        <w:t>EVITAR EFICIÊNCIA CEGA</w:t>
      </w:r>
    </w:p>
    <w:p>
      <w:pPr>
        <w:spacing w:before="0" w:after="200"/>
      </w:pPr>
      <w:r>
        <w:rPr>
          <w:rFonts w:ascii="Arial" w:hAnsi="Arial"/>
          <w:b/>
          <w:i w:val="0"/>
          <w:color w:val="071522"/>
          <w:sz w:val="40"/>
        </w:rPr>
        <w:t>Métricas mínimas de serviço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64"/>
        <w:gridCol w:w="2064"/>
        <w:gridCol w:w="2064"/>
        <w:gridCol w:w="2064"/>
        <w:gridCol w:w="2064"/>
      </w:tblGrid>
      <w:tr>
        <w:trPr>
          <w:tblHeader w:val="true"/>
        </w:trPr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Métrica</w:t>
            </w:r>
          </w:p>
        </w:tc>
        <w:tc>
          <w:tcPr>
            <w:tcW w:type="dxa" w:w="317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Definição</w:t>
            </w:r>
          </w:p>
        </w:tc>
        <w:tc>
          <w:tcPr>
            <w:tcW w:type="dxa" w:w="215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Fonte</w:t>
            </w:r>
          </w:p>
        </w:tc>
        <w:tc>
          <w:tcPr>
            <w:tcW w:type="dxa" w:w="153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Periodicidade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Responsável</w:t>
            </w:r>
          </w:p>
        </w:tc>
      </w:tr>
      <w:tr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Tempo de conclusão</w:t>
            </w:r>
          </w:p>
        </w:tc>
        <w:tc>
          <w:tcPr>
            <w:tcW w:type="dxa" w:w="317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Mediana do pedido à entrega</w:t>
            </w:r>
          </w:p>
        </w:tc>
        <w:tc>
          <w:tcPr>
            <w:tcW w:type="dxa" w:w="215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Logs ou registros</w:t>
            </w:r>
          </w:p>
        </w:tc>
        <w:tc>
          <w:tcPr>
            <w:tcW w:type="dxa" w:w="153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Mensal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Dono do serviço</w:t>
            </w:r>
          </w:p>
        </w:tc>
      </w:tr>
      <w:tr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Retrabalho</w:t>
            </w:r>
          </w:p>
        </w:tc>
        <w:tc>
          <w:tcPr>
            <w:tcW w:type="dxa" w:w="317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Taxa de reabertura ou correção</w:t>
            </w:r>
          </w:p>
        </w:tc>
        <w:tc>
          <w:tcPr>
            <w:tcW w:type="dxa" w:w="215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Atendimento</w:t>
            </w:r>
          </w:p>
        </w:tc>
        <w:tc>
          <w:tcPr>
            <w:tcW w:type="dxa" w:w="153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Mensal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Operação</w:t>
            </w:r>
          </w:p>
        </w:tc>
      </w:tr>
      <w:tr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Satisfação</w:t>
            </w:r>
          </w:p>
        </w:tc>
        <w:tc>
          <w:tcPr>
            <w:tcW w:type="dxa" w:w="317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Escala curta pós-atendimento</w:t>
            </w:r>
          </w:p>
        </w:tc>
        <w:tc>
          <w:tcPr>
            <w:tcW w:type="dxa" w:w="215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Pesquisa simples</w:t>
            </w:r>
          </w:p>
        </w:tc>
        <w:tc>
          <w:tcPr>
            <w:tcW w:type="dxa" w:w="153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Mensal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Dono do serviço</w:t>
            </w:r>
          </w:p>
        </w:tc>
      </w:tr>
      <w:tr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Acessibilidade</w:t>
            </w:r>
          </w:p>
        </w:tc>
        <w:tc>
          <w:tcPr>
            <w:tcW w:type="dxa" w:w="317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Incidentes de acesso e conformidade</w:t>
            </w:r>
          </w:p>
        </w:tc>
        <w:tc>
          <w:tcPr>
            <w:tcW w:type="dxa" w:w="215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Registros e testes</w:t>
            </w:r>
          </w:p>
        </w:tc>
        <w:tc>
          <w:tcPr>
            <w:tcW w:type="dxa" w:w="153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Trimestral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UX e TI</w:t>
            </w:r>
          </w:p>
        </w:tc>
      </w:tr>
      <w:tr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Equidade por canal</w:t>
            </w:r>
          </w:p>
        </w:tc>
        <w:tc>
          <w:tcPr>
            <w:tcW w:type="dxa" w:w="317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Uso e abandono por canal e perfil agregado</w:t>
            </w:r>
          </w:p>
        </w:tc>
        <w:tc>
          <w:tcPr>
            <w:tcW w:type="dxa" w:w="215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Logs e atendimento</w:t>
            </w:r>
          </w:p>
        </w:tc>
        <w:tc>
          <w:tcPr>
            <w:tcW w:type="dxa" w:w="153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Mensal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Governança</w:t>
            </w:r>
          </w:p>
        </w:tc>
      </w:tr>
      <w:tr>
        <w:tc>
          <w:tcPr>
            <w:tcW w:type="dxa" w:w="192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Confiabilidade</w:t>
            </w:r>
          </w:p>
        </w:tc>
        <w:tc>
          <w:tcPr>
            <w:tcW w:type="dxa" w:w="3175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Disponibilidade e incidentes relevantes</w:t>
            </w:r>
          </w:p>
        </w:tc>
        <w:tc>
          <w:tcPr>
            <w:tcW w:type="dxa" w:w="215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Monitoramento e chamados</w:t>
            </w:r>
          </w:p>
        </w:tc>
        <w:tc>
          <w:tcPr>
            <w:tcW w:type="dxa" w:w="153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Mensal</w:t>
            </w:r>
          </w:p>
        </w:tc>
        <w:tc>
          <w:tcPr>
            <w:tcW w:type="dxa" w:w="158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  <w:t>Operação</w:t>
            </w:r>
          </w:p>
        </w:tc>
      </w:tr>
    </w:tbl>
    <w:p/>
    <w:p>
      <w:pPr>
        <w:spacing w:after="40"/>
      </w:pPr>
      <w:r>
        <w:rPr>
          <w:rFonts w:ascii="Arial" w:hAnsi="Arial"/>
          <w:b/>
          <w:i w:val="0"/>
          <w:color w:val="0B66FF"/>
          <w:sz w:val="16"/>
        </w:rPr>
        <w:t>EXECUÇÃO</w:t>
      </w:r>
    </w:p>
    <w:p>
      <w:pPr>
        <w:spacing w:before="0" w:after="200"/>
      </w:pPr>
      <w:r>
        <w:rPr>
          <w:rFonts w:ascii="Arial" w:hAnsi="Arial"/>
          <w:b/>
          <w:i w:val="0"/>
          <w:color w:val="071522"/>
          <w:sz w:val="40"/>
        </w:rPr>
        <w:t>Plano de ação - próximos 30 dias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20"/>
        <w:gridCol w:w="1720"/>
        <w:gridCol w:w="1720"/>
        <w:gridCol w:w="1720"/>
        <w:gridCol w:w="1720"/>
        <w:gridCol w:w="1720"/>
      </w:tblGrid>
      <w:tr>
        <w:trPr>
          <w:tblHeader w:val="true"/>
        </w:trPr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Ação</w:t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Resultado esperado</w:t>
            </w:r>
          </w:p>
        </w:tc>
        <w:tc>
          <w:tcPr>
            <w:tcW w:type="dxa" w:w="147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Responsável</w:t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Prazo</w:t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Evidência de conclusão</w:t>
            </w:r>
          </w:p>
        </w:tc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071522"/>
          </w:tcPr>
          <w:p>
            <w:pPr>
              <w:spacing w:after="0" w:before="0" w:line="25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rPr>
          <w:trHeight w:val="822"/>
        </w:trPr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  <w:tr>
        <w:trPr>
          <w:trHeight w:val="822"/>
        </w:trPr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  <w:tr>
        <w:trPr>
          <w:trHeight w:val="822"/>
        </w:trPr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  <w:tr>
        <w:trPr>
          <w:trHeight w:val="822"/>
        </w:trPr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  <w:tr>
        <w:trPr>
          <w:trHeight w:val="822"/>
        </w:trPr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FFFFFF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  <w:tr>
        <w:trPr>
          <w:trHeight w:val="822"/>
        </w:trPr>
        <w:tc>
          <w:tcPr>
            <w:tcW w:type="dxa" w:w="249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2041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  <w:tc>
          <w:tcPr>
            <w:tcW w:type="dxa" w:w="1134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6" w:color="DCE5EB"/>
              <w:left w:val="single" w:sz="6" w:color="DCE5EB"/>
              <w:bottom w:val="single" w:sz="6" w:color="DCE5EB"/>
              <w:right w:val="single" w:sz="6" w:color="DCE5EB"/>
            </w:tcBorders>
            <w:shd w:fill="EFF5F8"/>
          </w:tcPr>
          <w:p>
            <w:pPr>
              <w:spacing w:after="0" w:before="0" w:line="259" w:lineRule="auto"/>
            </w:pPr>
            <w:r>
              <w:rPr>
                <w:rFonts w:ascii="Arial" w:hAnsi="Arial"/>
                <w:b w:val="0"/>
                <w:i w:val="0"/>
                <w:color w:val="071522"/>
                <w:sz w:val="16"/>
              </w:rPr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18"/>
      </w:tblGrid>
      <w:tr>
        <w:tc>
          <w:tcPr>
            <w:tcW w:type="dxa" w:w="10318"/>
            <w:shd w:fill="EAF8F4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val="nil"/>
              <w:left w:val="single" w:sz="18" w:color="19A974"/>
              <w:bottom w:val="nil"/>
              <w:right w:val="nil"/>
            </w:tcBorders>
          </w:tcPr>
          <w:p>
            <w:r>
              <w:rPr>
                <w:rFonts w:ascii="Arial" w:hAnsi="Arial"/>
                <w:b/>
                <w:i w:val="0"/>
                <w:color w:val="19A974"/>
                <w:sz w:val="20"/>
              </w:rPr>
              <w:t>Encerramento do ciclo</w:t>
              <w:br/>
            </w:r>
            <w:r>
              <w:rPr>
                <w:rFonts w:ascii="Arial" w:hAnsi="Arial"/>
                <w:b w:val="0"/>
                <w:i w:val="0"/>
                <w:color w:val="071522"/>
                <w:sz w:val="18"/>
              </w:rPr>
              <w:t>Ao final de 30 dias, registre o que mudou, quais evidências foram produzidas, quais riscos permanecem e qual decisão precisa ser revisada.</w:t>
            </w:r>
          </w:p>
        </w:tc>
      </w:tr>
    </w:tbl>
    <w:p>
      <w:pPr>
        <w:spacing w:after="40"/>
      </w:pPr>
    </w:p>
    <w:p>
      <w:pPr>
        <w:spacing w:before="240"/>
        <w:jc w:val="center"/>
      </w:pPr>
      <w:r>
        <w:rPr>
          <w:rFonts w:ascii="Arial" w:hAnsi="Arial"/>
          <w:b/>
          <w:i w:val="0"/>
          <w:color w:val="0B66FF"/>
          <w:sz w:val="18"/>
        </w:rPr>
        <w:t>www.fabioxavier.com.br</w:t>
      </w:r>
    </w:p>
    <w:sectPr w:rsidR="00FC693F" w:rsidRPr="0006063C" w:rsidSect="00034616">
      <w:pgSz w:w="11906" w:h="16838"/>
      <w:pgMar w:top="765" w:right="794" w:bottom="709" w:left="794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Arial" w:hAnsi="Arial"/>
        <w:b w:val="0"/>
        <w:i w:val="0"/>
        <w:color w:val="5F7180"/>
        <w:sz w:val="16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/>
    <w:r>
      <w:rPr>
        <w:rFonts w:ascii="Arial" w:hAnsi="Arial"/>
        <w:b/>
        <w:i w:val="0"/>
        <w:color w:val="5F7180"/>
        <w:sz w:val="15"/>
      </w:rPr>
      <w:t>TECNOLOGIA COMO POLÍTICA PÚBLICA  |  CADERNO DE APLICAÇÃO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07152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Caderno de Aplicação - Tecnologia como Política Pública</dc:title>
  <dc:subject>Material complementar editável para diagnóstico, governança e decisão</dc:subject>
  <dc:creator>Fábio Xavier</dc:creator>
  <cp:keywords>governo digital, tecnologia, política pública, governança, valor público, risco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